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Comparer des services ou des devis</w:t>
      </w:r>
    </w:p>
    <w:p>
      <w:pPr>
        <w:pStyle w:val="Normal"/>
      </w:pPr>
      <w:r>
        <w:t xml:space="preserve">AidantPilot — guide indépendant — version 1.0 — 2026-10-27</w:t>
      </w:r>
    </w:p>
    <w:p>
      <w:pPr>
        <w:pStyle w:val="Normal"/>
      </w:pPr>
      <w:r>
        <w:t xml:space="preserve">Une grille neutre à remplir hors du site, sans classement commercial.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Décrire le même besoin à chaque interlocuteur pour comparer des prestations comparables.</w:t>
      </w:r>
    </w:p>
    <w:p>
      <w:pPr>
        <w:pStyle w:val="Normal"/>
      </w:pPr>
      <w:r>
        <w:t xml:space="preserve">2. Demander un document écrit détaillant prestations, frais et conditions.</w:t>
      </w:r>
    </w:p>
    <w:p>
      <w:pPr>
        <w:pStyle w:val="Normal"/>
      </w:pPr>
      <w:r>
        <w:t xml:space="preserve">3. Vérifier le mode d’intervention, la continuité et les responsabilités sans supposer un remplacement acquis.</w:t>
      </w:r>
    </w:p>
    <w:p>
      <w:pPr>
        <w:pStyle w:val="Normal"/>
      </w:pPr>
      <w:r>
        <w:t xml:space="preserve">4. Ne pas considérer une aide financière comme accordée avant confirmation.</w:t>
      </w:r>
    </w:p>
    <w:p>
      <w:pPr>
        <w:pStyle w:val="Normal"/>
      </w:pPr>
      <w:r>
        <w:t xml:space="preserve">5. Pour un établissement, adapter les questions à l’admission et aux prestations incluses.</w:t>
      </w:r>
    </w:p>
    <w:p>
      <w:pPr>
        <w:pStyle w:val="Heading2"/>
      </w:pPr>
      <w:r>
        <w:t xml:space="preserve">Trois propositions à examiner avec les personnes concernées</w:t>
      </w:r>
    </w:p>
    <w:tbl>
      <w:tblPr>
        <w:tblW w:w="9360" w:type="dxa"/>
        <w:tblLayout w:type="fixed"/>
        <w:tblBorders>
          <w:top w:val="single" w:sz="4" w:color="666666"/>
          <w:left w:val="single" w:sz="4" w:color="666666"/>
          <w:bottom w:val="single" w:sz="4" w:color="666666"/>
          <w:right w:val="single" w:sz="4" w:color="666666"/>
          <w:insideH w:val="single" w:sz="4" w:color="666666"/>
          <w:insideV w:val="single" w:sz="4" w:color="666666"/>
        </w:tblBorders>
        <w:tblCaption w:val="Trois propositions à examiner avec les personnes concernées"/>
      </w:tblPr>
      <w:tblGrid>
        <w:gridCol w:w="2340"/>
        <w:gridCol w:w="2340"/>
        <w:gridCol w:w="2340"/>
        <w:gridCol w:w="2340"/>
      </w:tblGrid>
      <w:tr>
        <w:trPr>
          <w:tblHeader/>
          <w:cantSplit/>
        </w:trPr>
        <w:tc>
          <w:tcPr>
            <w:tcW w:w="2340" w:type="dxa"/>
          </w:tcPr>
          <w:p>
            <w:pPr>
              <w:pStyle w:val="TableHeading"/>
            </w:pPr>
            <w:r>
              <w:t xml:space="preserve">Question commune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Proposition A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Proposition B</w:t>
            </w:r>
          </w:p>
        </w:tc>
        <w:tc>
          <w:tcPr>
            <w:tcW w:w="2340" w:type="dxa"/>
          </w:tcPr>
          <w:p>
            <w:pPr>
              <w:pStyle w:val="TableHeading"/>
            </w:pPr>
            <w:r>
              <w:t xml:space="preserve">Proposition C</w:t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Prestations et limites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Prestataire / mandataire / autre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Horaires et continuité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Remplacement et absences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Coût, frais et révision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Contrat, annulation, préavis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Accessibilité et coordination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650" w:hRule="atLeast"/>
          <w:cantSplit/>
        </w:trPr>
        <w:tc>
          <w:tcPr>
            <w:tcW w:w="2340" w:type="dxa"/>
          </w:tcPr>
          <w:p>
            <w:pPr>
              <w:pStyle w:val="Normal"/>
            </w:pPr>
            <w:r>
              <w:t xml:space="preserve">Questions restantes</w:t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340" w:type="dxa"/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https://www.pour-les-personnes-agees.gouv.fr/vivre-a-domicile/beneficier-d-aide-a-domicile/les-services-d-aide-a-domicile</w:t>
      </w:r>
    </w:p>
    <w:p>
      <w:pPr>
        <w:pStyle w:val="Normal"/>
      </w:pPr>
      <w:r>
        <w:t xml:space="preserve">https://www.pour-les-personnes-agees.gouv.fr/comprendre-le-comparateur-de-prix-des-ehpad</w:t>
      </w:r>
    </w:p>
    <w:p>
      <w:pPr>
        <w:pStyle w:val="Normal"/>
      </w:pPr>
      <w:r>
        <w:t xml:space="preserve">https://www.economie.gouv.fr/dgccrf/les-fiches-pratiques/reussir-ladaptation-de-son-logement-au-vieillissement-ou-au-handicap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Compléter uniquement sur papier ou dans votre fichier personnel après téléchargement. Aucun envoi ni dépôt sur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Comparer des services ou des devis</dc:title>
  <dc:language>fr-FR</dc:language>
  <dc:description>Modèle vierge AidantPilot à modifier hors du site</dc:description>
</cp:coreProperties>
</file>