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keepNext/>
        <w:spacing w:before="0" w:after="240"/>
      </w:pPr>
      <w:r>
        <w:drawing>
          <wp:inline distT="0" distB="0" distL="0" distR="0">
            <wp:extent cx="2133600" cy="546502"/>
            <wp:docPr id="1" name="AidantPilot" descr="AidantPilot — Des repères pour avancer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idantpilot-logo.png" descr="AidantPilot — Des repères pour avancer.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2133600" cy="5465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 xml:space="preserve">Préparer un plan B du relais</w:t>
      </w:r>
    </w:p>
    <w:p>
      <w:pPr>
        <w:pStyle w:val="Normal"/>
      </w:pPr>
      <w:r>
        <w:t xml:space="preserve">AidantPilot — guide indépendant — version 1.0 — 2026-10-27</w:t>
      </w:r>
    </w:p>
    <w:p>
      <w:pPr>
        <w:pStyle w:val="Normal"/>
      </w:pPr>
      <w:r>
        <w:t xml:space="preserve">Anticiper une absence ou une indisponibilité avec les interlocuteurs ; aucun protocole de soin.</w:t>
      </w:r>
    </w:p>
    <w:p>
      <w:pPr>
        <w:pStyle w:val="Normal"/>
      </w:pPr>
      <w:r>
        <w:t xml:space="preserve">Document téléchargé vierge. Compléter uniquement sur votre appareil ou sur papier. Ne pas renvoyer au site.</w:t>
      </w:r>
    </w:p>
    <w:p>
      <w:pPr>
        <w:pStyle w:val="Heading2"/>
      </w:pPr>
      <w:r>
        <w:t xml:space="preserve">Les points à préparer</w:t>
      </w:r>
    </w:p>
    <w:p>
      <w:pPr>
        <w:pStyle w:val="Normal"/>
      </w:pPr>
      <w:r>
        <w:t xml:space="preserve">1. Repérer avec la personne les tâches quotidiennes qui ne peuvent pas attendre.</w:t>
      </w:r>
    </w:p>
    <w:p>
      <w:pPr>
        <w:pStyle w:val="Normal"/>
      </w:pPr>
      <w:r>
        <w:t xml:space="preserve">2. Demander à chaque relais ce qu’il accepte, sait faire et peut assurer ; un soin doit rester organisé avec les professionnels.</w:t>
      </w:r>
    </w:p>
    <w:p>
      <w:pPr>
        <w:pStyle w:val="Normal"/>
      </w:pPr>
      <w:r>
        <w:t xml:space="preserve">3. Identifier un contact de coordination et un second interlocuteur si le premier est indisponible.</w:t>
      </w:r>
    </w:p>
    <w:p>
      <w:pPr>
        <w:pStyle w:val="Normal"/>
      </w:pPr>
      <w:r>
        <w:t xml:space="preserve">4. Vérifier les modalités d’accès, horaires, coûts et possibilités réelles avec le service ; ce document ne crée pas de réservation.</w:t>
      </w:r>
    </w:p>
    <w:p>
      <w:pPr>
        <w:pStyle w:val="Normal"/>
      </w:pPr>
      <w:r>
        <w:t xml:space="preserve">5. En danger immédiat, contacter les secours. Pour les consignes de santé, demander aux professionnels et ne pas inventer de geste.</w:t>
      </w:r>
    </w:p>
    <w:p>
      <w:pPr>
        <w:pStyle w:val="Heading2"/>
      </w:pPr>
      <w:r>
        <w:t xml:space="preserve">Plan à discuter puis confirmer</w:t>
      </w:r>
    </w:p>
    <w:tbl>
      <w:tblPr>
        <w:tblW w:w="9360" w:type="dxa"/>
        <w:tblLayout w:type="fixed"/>
        <w:tblBorders>
          <w:top w:val="single" w:sz="4" w:color="666666"/>
          <w:left w:val="single" w:sz="4" w:color="666666"/>
          <w:bottom w:val="single" w:sz="4" w:color="666666"/>
          <w:right w:val="single" w:sz="4" w:color="666666"/>
          <w:insideH w:val="single" w:sz="4" w:color="666666"/>
          <w:insideV w:val="single" w:sz="4" w:color="666666"/>
        </w:tblBorders>
        <w:tblCaption w:val="Plan à discuter puis confirmer"/>
      </w:tblPr>
      <w:tblGrid>
        <w:gridCol w:w="2340"/>
        <w:gridCol w:w="2340"/>
        <w:gridCol w:w="2340"/>
        <w:gridCol w:w="2340"/>
      </w:tblGrid>
      <w:tr>
        <w:trPr>
          <w:tblHeader/>
          <w:cantSplit/>
        </w:trPr>
        <w:tc>
          <w:tcPr>
            <w:tcW w:w="2340" w:type="dxa"/>
          </w:tcPr>
          <w:p>
            <w:pPr>
              <w:pStyle w:val="TableHeading"/>
            </w:pPr>
            <w:r>
              <w:t xml:space="preserve">Besoin indispensable</w:t>
            </w:r>
          </w:p>
        </w:tc>
        <w:tc>
          <w:tcPr>
            <w:tcW w:w="2340" w:type="dxa"/>
          </w:tcPr>
          <w:p>
            <w:pPr>
              <w:pStyle w:val="TableHeading"/>
            </w:pPr>
            <w:r>
              <w:t xml:space="preserve">Premier relais confirmé</w:t>
            </w:r>
          </w:p>
        </w:tc>
        <w:tc>
          <w:tcPr>
            <w:tcW w:w="2340" w:type="dxa"/>
          </w:tcPr>
          <w:p>
            <w:pPr>
              <w:pStyle w:val="TableHeading"/>
            </w:pPr>
            <w:r>
              <w:t xml:space="preserve">Second relais</w:t>
            </w:r>
          </w:p>
        </w:tc>
        <w:tc>
          <w:tcPr>
            <w:tcW w:w="2340" w:type="dxa"/>
          </w:tcPr>
          <w:p>
            <w:pPr>
              <w:pStyle w:val="TableHeading"/>
            </w:pPr>
            <w:r>
              <w:t xml:space="preserve">Qui prévenir et quand</w:t>
            </w:r>
          </w:p>
        </w:tc>
      </w:tr>
      <w:tr>
        <w:trPr>
          <w:trHeight w:val="650" w:hRule="atLeast"/>
          <w:cantSplit/>
        </w:trPr>
        <w:tc>
          <w:tcPr>
            <w:tcW w:w="2340" w:type="dxa"/>
          </w:tcPr>
          <w:p>
            <w:pPr>
              <w:pStyle w:val="Normal"/>
            </w:pPr>
            <w:r>
              <w:t xml:space="preserve"/>
            </w:r>
          </w:p>
        </w:tc>
        <w:tc>
          <w:tcPr>
            <w:tcW w:w="2340" w:type="dxa"/>
          </w:tcPr>
          <w:p>
            <w:pPr>
              <w:pStyle w:val="Normal"/>
            </w:pPr>
            <w:r>
              <w:t xml:space="preserve"/>
            </w:r>
          </w:p>
        </w:tc>
        <w:tc>
          <w:tcPr>
            <w:tcW w:w="2340" w:type="dxa"/>
          </w:tcPr>
          <w:p>
            <w:pPr>
              <w:pStyle w:val="Normal"/>
            </w:pPr>
            <w:r>
              <w:t xml:space="preserve"/>
            </w:r>
          </w:p>
        </w:tc>
        <w:tc>
          <w:tcPr>
            <w:tcW w:w="2340" w:type="dxa"/>
          </w:tcPr>
          <w:p>
            <w:pPr>
              <w:pStyle w:val="Normal"/>
            </w:pPr>
            <w:r>
              <w:t xml:space="preserve"/>
            </w:r>
          </w:p>
        </w:tc>
      </w:tr>
      <w:tr>
        <w:trPr>
          <w:trHeight w:val="650" w:hRule="atLeast"/>
          <w:cantSplit/>
        </w:trPr>
        <w:tc>
          <w:tcPr>
            <w:tcW w:w="2340" w:type="dxa"/>
          </w:tcPr>
          <w:p>
            <w:pPr>
              <w:pStyle w:val="Normal"/>
            </w:pPr>
            <w:r>
              <w:t xml:space="preserve"/>
            </w:r>
          </w:p>
        </w:tc>
        <w:tc>
          <w:tcPr>
            <w:tcW w:w="2340" w:type="dxa"/>
          </w:tcPr>
          <w:p>
            <w:pPr>
              <w:pStyle w:val="Normal"/>
            </w:pPr>
            <w:r>
              <w:t xml:space="preserve"/>
            </w:r>
          </w:p>
        </w:tc>
        <w:tc>
          <w:tcPr>
            <w:tcW w:w="2340" w:type="dxa"/>
          </w:tcPr>
          <w:p>
            <w:pPr>
              <w:pStyle w:val="Normal"/>
            </w:pPr>
            <w:r>
              <w:t xml:space="preserve"/>
            </w:r>
          </w:p>
        </w:tc>
        <w:tc>
          <w:tcPr>
            <w:tcW w:w="2340" w:type="dxa"/>
          </w:tcPr>
          <w:p>
            <w:pPr>
              <w:pStyle w:val="Normal"/>
            </w:pPr>
            <w:r>
              <w:t xml:space="preserve"/>
            </w:r>
          </w:p>
        </w:tc>
      </w:tr>
      <w:tr>
        <w:trPr>
          <w:trHeight w:val="650" w:hRule="atLeast"/>
          <w:cantSplit/>
        </w:trPr>
        <w:tc>
          <w:tcPr>
            <w:tcW w:w="2340" w:type="dxa"/>
          </w:tcPr>
          <w:p>
            <w:pPr>
              <w:pStyle w:val="Normal"/>
            </w:pPr>
            <w:r>
              <w:t xml:space="preserve"/>
            </w:r>
          </w:p>
        </w:tc>
        <w:tc>
          <w:tcPr>
            <w:tcW w:w="2340" w:type="dxa"/>
          </w:tcPr>
          <w:p>
            <w:pPr>
              <w:pStyle w:val="Normal"/>
            </w:pPr>
            <w:r>
              <w:t xml:space="preserve"/>
            </w:r>
          </w:p>
        </w:tc>
        <w:tc>
          <w:tcPr>
            <w:tcW w:w="2340" w:type="dxa"/>
          </w:tcPr>
          <w:p>
            <w:pPr>
              <w:pStyle w:val="Normal"/>
            </w:pPr>
            <w:r>
              <w:t xml:space="preserve"/>
            </w:r>
          </w:p>
        </w:tc>
        <w:tc>
          <w:tcPr>
            <w:tcW w:w="2340" w:type="dxa"/>
          </w:tcPr>
          <w:p>
            <w:pPr>
              <w:pStyle w:val="Normal"/>
            </w:pPr>
            <w:r>
              <w:t xml:space="preserve"/>
            </w:r>
          </w:p>
        </w:tc>
      </w:tr>
      <w:tr>
        <w:trPr>
          <w:trHeight w:val="650" w:hRule="atLeast"/>
          <w:cantSplit/>
        </w:trPr>
        <w:tc>
          <w:tcPr>
            <w:tcW w:w="2340" w:type="dxa"/>
          </w:tcPr>
          <w:p>
            <w:pPr>
              <w:pStyle w:val="Normal"/>
            </w:pPr>
            <w:r>
              <w:t xml:space="preserve"/>
            </w:r>
          </w:p>
        </w:tc>
        <w:tc>
          <w:tcPr>
            <w:tcW w:w="2340" w:type="dxa"/>
          </w:tcPr>
          <w:p>
            <w:pPr>
              <w:pStyle w:val="Normal"/>
            </w:pPr>
            <w:r>
              <w:t xml:space="preserve"/>
            </w:r>
          </w:p>
        </w:tc>
        <w:tc>
          <w:tcPr>
            <w:tcW w:w="2340" w:type="dxa"/>
          </w:tcPr>
          <w:p>
            <w:pPr>
              <w:pStyle w:val="Normal"/>
            </w:pPr>
            <w:r>
              <w:t xml:space="preserve"/>
            </w:r>
          </w:p>
        </w:tc>
        <w:tc>
          <w:tcPr>
            <w:tcW w:w="2340" w:type="dxa"/>
          </w:tcPr>
          <w:p>
            <w:pPr>
              <w:pStyle w:val="Normal"/>
            </w:pPr>
            <w:r>
              <w:t xml:space="preserve"/>
            </w:r>
          </w:p>
        </w:tc>
      </w:tr>
      <w:tr>
        <w:trPr>
          <w:trHeight w:val="650" w:hRule="atLeast"/>
          <w:cantSplit/>
        </w:trPr>
        <w:tc>
          <w:tcPr>
            <w:tcW w:w="2340" w:type="dxa"/>
          </w:tcPr>
          <w:p>
            <w:pPr>
              <w:pStyle w:val="Normal"/>
            </w:pPr>
            <w:r>
              <w:t xml:space="preserve"/>
            </w:r>
          </w:p>
        </w:tc>
        <w:tc>
          <w:tcPr>
            <w:tcW w:w="2340" w:type="dxa"/>
          </w:tcPr>
          <w:p>
            <w:pPr>
              <w:pStyle w:val="Normal"/>
            </w:pPr>
            <w:r>
              <w:t xml:space="preserve"/>
            </w:r>
          </w:p>
        </w:tc>
        <w:tc>
          <w:tcPr>
            <w:tcW w:w="2340" w:type="dxa"/>
          </w:tcPr>
          <w:p>
            <w:pPr>
              <w:pStyle w:val="Normal"/>
            </w:pPr>
            <w:r>
              <w:t xml:space="preserve"/>
            </w:r>
          </w:p>
        </w:tc>
        <w:tc>
          <w:tcPr>
            <w:tcW w:w="2340" w:type="dxa"/>
          </w:tcPr>
          <w:p>
            <w:pPr>
              <w:pStyle w:val="Normal"/>
            </w:pPr>
            <w:r>
              <w:t xml:space="preserve"/>
            </w:r>
          </w:p>
        </w:tc>
      </w:tr>
    </w:tbl>
    <w:p>
      <w:pPr>
        <w:pStyle w:val="Heading2"/>
      </w:pPr>
      <w:r>
        <w:t xml:space="preserve">Questions encore à confirmer</w:t>
      </w:r>
    </w:p>
    <w:tbl>
      <w:tblPr>
        <w:tblW w:w="9360" w:type="dxa"/>
        <w:tblLayout w:type="fixed"/>
        <w:tblBorders>
          <w:top w:val="single" w:sz="4" w:color="666666"/>
          <w:left w:val="single" w:sz="4" w:color="666666"/>
          <w:bottom w:val="single" w:sz="4" w:color="666666"/>
          <w:right w:val="single" w:sz="4" w:color="666666"/>
          <w:insideH w:val="single" w:sz="4" w:color="666666"/>
          <w:insideV w:val="single" w:sz="4" w:color="666666"/>
        </w:tblBorders>
        <w:tblCaption w:val="Questions encore à confirmer"/>
      </w:tblPr>
      <w:tblGrid>
        <w:gridCol w:w="2340"/>
        <w:gridCol w:w="2340"/>
        <w:gridCol w:w="2340"/>
        <w:gridCol w:w="2340"/>
      </w:tblGrid>
      <w:tr>
        <w:trPr>
          <w:tblHeader/>
          <w:cantSplit/>
        </w:trPr>
        <w:tc>
          <w:tcPr>
            <w:tcW w:w="2340" w:type="dxa"/>
          </w:tcPr>
          <w:p>
            <w:pPr>
              <w:pStyle w:val="TableHeading"/>
            </w:pPr>
            <w:r>
              <w:t xml:space="preserve">Question</w:t>
            </w:r>
          </w:p>
        </w:tc>
        <w:tc>
          <w:tcPr>
            <w:tcW w:w="2340" w:type="dxa"/>
          </w:tcPr>
          <w:p>
            <w:pPr>
              <w:pStyle w:val="TableHeading"/>
            </w:pPr>
            <w:r>
              <w:t xml:space="preserve">Interlocuteur</w:t>
            </w:r>
          </w:p>
        </w:tc>
        <w:tc>
          <w:tcPr>
            <w:tcW w:w="2340" w:type="dxa"/>
          </w:tcPr>
          <w:p>
            <w:pPr>
              <w:pStyle w:val="TableHeading"/>
            </w:pPr>
            <w:r>
              <w:t xml:space="preserve">Réponse à noter</w:t>
            </w:r>
          </w:p>
        </w:tc>
        <w:tc>
          <w:tcPr>
            <w:tcW w:w="2340" w:type="dxa"/>
          </w:tcPr>
          <w:p>
            <w:pPr>
              <w:pStyle w:val="TableHeading"/>
            </w:pPr>
            <w:r>
              <w:t xml:space="preserve">Prochain contact</w:t>
            </w:r>
          </w:p>
        </w:tc>
      </w:tr>
      <w:tr>
        <w:trPr>
          <w:trHeight w:val="650" w:hRule="atLeast"/>
          <w:cantSplit/>
        </w:trPr>
        <w:tc>
          <w:tcPr>
            <w:tcW w:w="2340" w:type="dxa"/>
          </w:tcPr>
          <w:p>
            <w:pPr>
              <w:pStyle w:val="Normal"/>
            </w:pPr>
            <w:r>
              <w:t xml:space="preserve"/>
            </w:r>
          </w:p>
        </w:tc>
        <w:tc>
          <w:tcPr>
            <w:tcW w:w="2340" w:type="dxa"/>
          </w:tcPr>
          <w:p>
            <w:pPr>
              <w:pStyle w:val="Normal"/>
            </w:pPr>
            <w:r>
              <w:t xml:space="preserve"/>
            </w:r>
          </w:p>
        </w:tc>
        <w:tc>
          <w:tcPr>
            <w:tcW w:w="2340" w:type="dxa"/>
          </w:tcPr>
          <w:p>
            <w:pPr>
              <w:pStyle w:val="Normal"/>
            </w:pPr>
            <w:r>
              <w:t xml:space="preserve"/>
            </w:r>
          </w:p>
        </w:tc>
        <w:tc>
          <w:tcPr>
            <w:tcW w:w="2340" w:type="dxa"/>
          </w:tcPr>
          <w:p>
            <w:pPr>
              <w:pStyle w:val="Normal"/>
            </w:pPr>
            <w:r>
              <w:t xml:space="preserve"/>
            </w:r>
          </w:p>
        </w:tc>
      </w:tr>
      <w:tr>
        <w:trPr>
          <w:trHeight w:val="650" w:hRule="atLeast"/>
          <w:cantSplit/>
        </w:trPr>
        <w:tc>
          <w:tcPr>
            <w:tcW w:w="2340" w:type="dxa"/>
          </w:tcPr>
          <w:p>
            <w:pPr>
              <w:pStyle w:val="Normal"/>
            </w:pPr>
            <w:r>
              <w:t xml:space="preserve"/>
            </w:r>
          </w:p>
        </w:tc>
        <w:tc>
          <w:tcPr>
            <w:tcW w:w="2340" w:type="dxa"/>
          </w:tcPr>
          <w:p>
            <w:pPr>
              <w:pStyle w:val="Normal"/>
            </w:pPr>
            <w:r>
              <w:t xml:space="preserve"/>
            </w:r>
          </w:p>
        </w:tc>
        <w:tc>
          <w:tcPr>
            <w:tcW w:w="2340" w:type="dxa"/>
          </w:tcPr>
          <w:p>
            <w:pPr>
              <w:pStyle w:val="Normal"/>
            </w:pPr>
            <w:r>
              <w:t xml:space="preserve"/>
            </w:r>
          </w:p>
        </w:tc>
        <w:tc>
          <w:tcPr>
            <w:tcW w:w="2340" w:type="dxa"/>
          </w:tcPr>
          <w:p>
            <w:pPr>
              <w:pStyle w:val="Normal"/>
            </w:pPr>
            <w:r>
              <w:t xml:space="preserve"/>
            </w:r>
          </w:p>
        </w:tc>
      </w:tr>
      <w:tr>
        <w:trPr>
          <w:trHeight w:val="650" w:hRule="atLeast"/>
          <w:cantSplit/>
        </w:trPr>
        <w:tc>
          <w:tcPr>
            <w:tcW w:w="2340" w:type="dxa"/>
          </w:tcPr>
          <w:p>
            <w:pPr>
              <w:pStyle w:val="Normal"/>
            </w:pPr>
            <w:r>
              <w:t xml:space="preserve"/>
            </w:r>
          </w:p>
        </w:tc>
        <w:tc>
          <w:tcPr>
            <w:tcW w:w="2340" w:type="dxa"/>
          </w:tcPr>
          <w:p>
            <w:pPr>
              <w:pStyle w:val="Normal"/>
            </w:pPr>
            <w:r>
              <w:t xml:space="preserve"/>
            </w:r>
          </w:p>
        </w:tc>
        <w:tc>
          <w:tcPr>
            <w:tcW w:w="2340" w:type="dxa"/>
          </w:tcPr>
          <w:p>
            <w:pPr>
              <w:pStyle w:val="Normal"/>
            </w:pPr>
            <w:r>
              <w:t xml:space="preserve"/>
            </w:r>
          </w:p>
        </w:tc>
        <w:tc>
          <w:tcPr>
            <w:tcW w:w="2340" w:type="dxa"/>
          </w:tcPr>
          <w:p>
            <w:pPr>
              <w:pStyle w:val="Normal"/>
            </w:pPr>
            <w:r>
              <w:t xml:space="preserve"/>
            </w:r>
          </w:p>
        </w:tc>
      </w:tr>
    </w:tbl>
    <w:p>
      <w:pPr>
        <w:pStyle w:val="Heading2"/>
      </w:pPr>
      <w:r>
        <w:t xml:space="preserve">Mes notes dans mon fichier personnel</w:t>
      </w:r>
    </w:p>
    <w:p>
      <w:pPr>
        <w:pStyle w:val="Normal"/>
      </w:pPr>
      <w:r>
        <w:t xml:space="preserve">________________________________________________________________</w:t>
      </w:r>
    </w:p>
    <w:p>
      <w:pPr>
        <w:pStyle w:val="Normal"/>
      </w:pPr>
      <w:r>
        <w:t xml:space="preserve">________________________________________________________________</w:t>
      </w:r>
    </w:p>
    <w:p>
      <w:pPr>
        <w:pStyle w:val="Normal"/>
      </w:pPr>
      <w:r>
        <w:t xml:space="preserve">________________________________________________________________</w:t>
      </w:r>
    </w:p>
    <w:p>
      <w:pPr>
        <w:pStyle w:val="Heading2"/>
      </w:pPr>
      <w:r>
        <w:t xml:space="preserve">Sources pour vérifier les repères</w:t>
      </w:r>
    </w:p>
    <w:p>
      <w:pPr>
        <w:pStyle w:val="Normal"/>
      </w:pPr>
      <w:r>
        <w:t xml:space="preserve">https://www.pour-les-personnes-agees.gouv.fr/solutions-pour-les-aidants/soutien-financier/majoration-de-l-apa-en-cas-d-hospitalisation-du-proche-aidant</w:t>
      </w:r>
    </w:p>
    <w:p>
      <w:pPr>
        <w:pStyle w:val="Normal"/>
      </w:pPr>
      <w:r>
        <w:t xml:space="preserve">https://www.monparcourshandicap.gouv.fr/aidant/les-solutions-de-repit-pour-les-aidants</w:t>
      </w:r>
    </w:p>
    <w:p>
      <w:pPr>
        <w:pStyle w:val="Normal"/>
      </w:pPr>
      <w:r>
        <w:t xml:space="preserve">https://www.service-public.gouv.fr/particuliers/vosdroits/F33954</w:t>
      </w:r>
    </w:p>
    <w:p>
      <w:pPr>
        <w:pStyle w:val="Normal"/>
      </w:pPr>
      <w:r>
        <w:t xml:space="preserve">Repères documentaires, sans approbation professionnelle attestée. Ce document ne remplace pas une décision, une ordonnance ou un conseil professionnel individuel. Les conditions et coordonnées peuvent évoluer.</w:t>
      </w:r>
    </w:p>
    <w:p>
      <w:pPr>
        <w:pStyle w:val="Normal"/>
      </w:pPr>
      <w:r>
        <w:t xml:space="preserve">Guide indépendant. Compléter uniquement sur papier ou dans votre fichier personnel après téléchargement. Aucun envoi ni dépôt sur AidantPilot.</w:t>
      </w:r>
    </w:p>
    <w:sectPr>
      <w:pgSz w:w="11906" w:h="16838"/>
      <w:pgMar w:top="1020" w:right="1273" w:bottom="1020" w:left="1273"/>
    </w:sectPr>
  </w:body>
</w:document>
</file>

<file path=word/styles.xml><?xml version="1.0" encoding="utf-8"?>
<w:styles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docDefaults>
    <w:rPrDefault>
      <w:rPr>
        <w:rFonts w:ascii="Arial" w:hAnsi="Arial"/>
        <w:sz w:val="24"/>
        <w:lang w:val="fr-FR"/>
      </w:rPr>
    </w:rPrDefault>
    <w:pPrDefault>
      <w:pPr>
        <w:spacing w:after="140" w:line="340" w:lineRule="auto"/>
      </w:pPr>
    </w:pPrDefault>
  </w:docDefaults>
  <w:style w:type="paragraph" w:default="1" w:styleId="Normal">
    <w:name w:val="Normal"/>
  </w:style>
  <w:style w:type="paragraph" w:styleId="Heading1">
    <w:name w:val="heading 1"/>
    <w:basedOn w:val="Normal"/>
    <w:pPr>
      <w:keepNext/>
      <w:outlineLvl w:val="0"/>
    </w:pPr>
    <w:rPr>
      <w:b/>
      <w:sz w:val="40"/>
    </w:rPr>
  </w:style>
  <w:style w:type="paragraph" w:styleId="Heading2">
    <w:name w:val="heading 2"/>
    <w:basedOn w:val="Normal"/>
    <w:pPr>
      <w:keepNext/>
      <w:outlineLvl w:val="1"/>
    </w:pPr>
    <w:rPr>
      <w:b/>
      <w:sz w:val="30"/>
    </w:rPr>
  </w:style>
  <w:style w:type="paragraph" w:styleId="TableHeading">
    <w:name w:val="En-tête de tableau"/>
    <w:basedOn w:val="Normal"/>
    <w:rPr>
      <w:b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Logo" Type="http://schemas.openxmlformats.org/officeDocument/2006/relationships/image" Target="media/aidantpilot-logo.png"/></Relationships>
</file>

<file path=docProps/core.xml><?xml version="1.0" encoding="utf-8"?>
<cp:coreProperties xmlns:cp="http://schemas.openxmlformats.org/package/2006/metadata/core-properties" xmlns:dc="http://purl.org/dc/elements/1.1/">
  <dc:title>Préparer un plan B du relais</dc:title>
  <dc:language>fr-FR</dc:language>
  <dc:description>Modèle vierge AidantPilot à modifier hors du site</dc:description>
</cp:coreProperties>
</file>